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CB" w:rsidRDefault="00A145D8">
      <w:r>
        <w:rPr>
          <w:noProof/>
        </w:rPr>
        <w:drawing>
          <wp:anchor distT="0" distB="0" distL="114300" distR="114300" simplePos="0" relativeHeight="251657728" behindDoc="0" locked="0" layoutInCell="1" allowOverlap="1">
            <wp:simplePos x="0" y="0"/>
            <wp:positionH relativeFrom="margin">
              <wp:posOffset>2266950</wp:posOffset>
            </wp:positionH>
            <wp:positionV relativeFrom="paragraph">
              <wp:posOffset>-221615</wp:posOffset>
            </wp:positionV>
            <wp:extent cx="2286000" cy="7245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86000" cy="724535"/>
                    </a:xfrm>
                    <a:prstGeom prst="rect">
                      <a:avLst/>
                    </a:prstGeom>
                    <a:noFill/>
                  </pic:spPr>
                </pic:pic>
              </a:graphicData>
            </a:graphic>
          </wp:anchor>
        </w:drawing>
      </w:r>
    </w:p>
    <w:p w:rsidR="009B57CB" w:rsidRDefault="009B57CB">
      <w:pPr>
        <w:rPr>
          <w:rFonts w:ascii="Arial" w:eastAsia="Arial" w:hAnsi="Arial" w:cs="Arial"/>
          <w:sz w:val="22"/>
          <w:szCs w:val="22"/>
        </w:rPr>
      </w:pPr>
    </w:p>
    <w:p w:rsidR="009B57CB" w:rsidRDefault="009B57CB">
      <w:pPr>
        <w:rPr>
          <w:rFonts w:ascii="Arial" w:eastAsia="Arial" w:hAnsi="Arial" w:cs="Arial"/>
          <w:sz w:val="22"/>
          <w:szCs w:val="22"/>
        </w:rPr>
      </w:pPr>
    </w:p>
    <w:p w:rsidR="009B57CB" w:rsidRDefault="009B57CB">
      <w:pPr>
        <w:rPr>
          <w:rFonts w:ascii="Arial" w:eastAsia="Arial" w:hAnsi="Arial" w:cs="Arial"/>
          <w:sz w:val="22"/>
          <w:szCs w:val="22"/>
        </w:rPr>
      </w:pPr>
    </w:p>
    <w:tbl>
      <w:tblPr>
        <w:tblW w:w="0" w:type="auto"/>
        <w:tblInd w:w="20" w:type="dxa"/>
        <w:tblLook w:val="0000" w:firstRow="0" w:lastRow="0" w:firstColumn="0" w:lastColumn="0" w:noHBand="0" w:noVBand="0"/>
      </w:tblPr>
      <w:tblGrid>
        <w:gridCol w:w="3619"/>
        <w:gridCol w:w="3567"/>
        <w:gridCol w:w="3614"/>
      </w:tblGrid>
      <w:tr w:rsidR="009B57CB" w:rsidRPr="00576CA4">
        <w:tc>
          <w:tcPr>
            <w:tcW w:w="3672"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color w:val="FFFFFF"/>
                <w:sz w:val="22"/>
                <w:szCs w:val="22"/>
              </w:rPr>
              <w:t>Course Name</w:t>
            </w:r>
          </w:p>
        </w:tc>
        <w:tc>
          <w:tcPr>
            <w:tcW w:w="3672"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color w:val="FFFFFF"/>
                <w:sz w:val="22"/>
                <w:szCs w:val="22"/>
              </w:rPr>
              <w:t>Instructor</w:t>
            </w:r>
          </w:p>
        </w:tc>
        <w:tc>
          <w:tcPr>
            <w:tcW w:w="3671"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color w:val="FFFFFF"/>
                <w:sz w:val="22"/>
                <w:szCs w:val="22"/>
              </w:rPr>
              <w:t>Instructor E-mail</w:t>
            </w:r>
          </w:p>
        </w:tc>
      </w:tr>
      <w:tr w:rsidR="009B57CB" w:rsidRPr="00576CA4">
        <w:tc>
          <w:tcPr>
            <w:tcW w:w="36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6531" w:rsidRPr="00576CA4" w:rsidRDefault="003E6169">
            <w:pPr>
              <w:jc w:val="center"/>
              <w:rPr>
                <w:sz w:val="22"/>
                <w:szCs w:val="22"/>
              </w:rPr>
            </w:pPr>
            <w:r w:rsidRPr="00576CA4">
              <w:rPr>
                <w:sz w:val="22"/>
                <w:szCs w:val="22"/>
              </w:rPr>
              <w:t>Economics</w:t>
            </w:r>
          </w:p>
        </w:tc>
        <w:tc>
          <w:tcPr>
            <w:tcW w:w="36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Pr="00576CA4" w:rsidRDefault="0041694A" w:rsidP="00B20F69">
            <w:pPr>
              <w:jc w:val="center"/>
              <w:rPr>
                <w:sz w:val="22"/>
                <w:szCs w:val="22"/>
              </w:rPr>
            </w:pPr>
            <w:r>
              <w:rPr>
                <w:sz w:val="22"/>
                <w:szCs w:val="22"/>
              </w:rPr>
              <w:t>J</w:t>
            </w:r>
            <w:r w:rsidR="00B20F69">
              <w:rPr>
                <w:sz w:val="22"/>
                <w:szCs w:val="22"/>
              </w:rPr>
              <w:t>oshua</w:t>
            </w:r>
            <w:r>
              <w:rPr>
                <w:sz w:val="22"/>
                <w:szCs w:val="22"/>
              </w:rPr>
              <w:t xml:space="preserve"> </w:t>
            </w:r>
            <w:proofErr w:type="spellStart"/>
            <w:r>
              <w:rPr>
                <w:sz w:val="22"/>
                <w:szCs w:val="22"/>
              </w:rPr>
              <w:t>Hagler</w:t>
            </w:r>
            <w:proofErr w:type="spellEnd"/>
          </w:p>
        </w:tc>
        <w:tc>
          <w:tcPr>
            <w:tcW w:w="3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12DBB" w:rsidRPr="00576CA4" w:rsidRDefault="00DA4BF1" w:rsidP="004C4268">
            <w:pPr>
              <w:jc w:val="center"/>
              <w:rPr>
                <w:sz w:val="22"/>
                <w:szCs w:val="22"/>
              </w:rPr>
            </w:pPr>
            <w:r>
              <w:rPr>
                <w:sz w:val="22"/>
                <w:szCs w:val="22"/>
              </w:rPr>
              <w:t>jphagler</w:t>
            </w:r>
            <w:r w:rsidR="00912DBB">
              <w:rPr>
                <w:sz w:val="22"/>
                <w:szCs w:val="22"/>
              </w:rPr>
              <w:t>@aps.k12.co.us</w:t>
            </w:r>
            <w:r w:rsidR="00912DBB" w:rsidRPr="00576CA4">
              <w:rPr>
                <w:sz w:val="22"/>
                <w:szCs w:val="22"/>
              </w:rPr>
              <w:t xml:space="preserve"> </w:t>
            </w:r>
          </w:p>
        </w:tc>
      </w:tr>
      <w:tr w:rsidR="009B57CB" w:rsidRPr="00576CA4">
        <w:tc>
          <w:tcPr>
            <w:tcW w:w="3672"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color w:val="FFFFFF"/>
                <w:sz w:val="22"/>
                <w:szCs w:val="22"/>
              </w:rPr>
              <w:t>Course Website</w:t>
            </w:r>
          </w:p>
        </w:tc>
        <w:tc>
          <w:tcPr>
            <w:tcW w:w="3672"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b/>
                <w:bCs/>
                <w:color w:val="FFFFFF"/>
                <w:sz w:val="22"/>
                <w:szCs w:val="22"/>
              </w:rPr>
              <w:t xml:space="preserve">Class Meeting Times &amp; Location: </w:t>
            </w:r>
          </w:p>
        </w:tc>
        <w:tc>
          <w:tcPr>
            <w:tcW w:w="3671"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Pr="00576CA4" w:rsidRDefault="009B57CB">
            <w:pPr>
              <w:jc w:val="center"/>
              <w:rPr>
                <w:sz w:val="22"/>
                <w:szCs w:val="22"/>
              </w:rPr>
            </w:pPr>
            <w:r w:rsidRPr="00576CA4">
              <w:rPr>
                <w:b/>
                <w:bCs/>
                <w:color w:val="FFFFFF"/>
                <w:sz w:val="22"/>
                <w:szCs w:val="22"/>
              </w:rPr>
              <w:t>Prerequisites</w:t>
            </w:r>
          </w:p>
        </w:tc>
      </w:tr>
      <w:tr w:rsidR="009B57CB" w:rsidRPr="00576CA4">
        <w:tc>
          <w:tcPr>
            <w:tcW w:w="36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Pr="00576CA4" w:rsidRDefault="00B20F69">
            <w:pPr>
              <w:jc w:val="center"/>
              <w:rPr>
                <w:sz w:val="22"/>
                <w:szCs w:val="22"/>
              </w:rPr>
            </w:pPr>
            <w:r>
              <w:rPr>
                <w:sz w:val="22"/>
                <w:szCs w:val="22"/>
              </w:rPr>
              <w:t>www.Hagler.weebly.com</w:t>
            </w:r>
          </w:p>
        </w:tc>
        <w:tc>
          <w:tcPr>
            <w:tcW w:w="36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Pr="00576CA4" w:rsidRDefault="0041694A" w:rsidP="00B20F69">
            <w:pPr>
              <w:jc w:val="center"/>
              <w:rPr>
                <w:sz w:val="22"/>
                <w:szCs w:val="22"/>
              </w:rPr>
            </w:pPr>
            <w:r>
              <w:rPr>
                <w:sz w:val="22"/>
                <w:szCs w:val="22"/>
              </w:rPr>
              <w:t>P</w:t>
            </w:r>
            <w:r w:rsidR="00B20F69">
              <w:rPr>
                <w:sz w:val="22"/>
                <w:szCs w:val="22"/>
              </w:rPr>
              <w:t xml:space="preserve">eriods </w:t>
            </w:r>
            <w:r>
              <w:rPr>
                <w:sz w:val="22"/>
                <w:szCs w:val="22"/>
              </w:rPr>
              <w:t>3</w:t>
            </w:r>
            <w:r w:rsidR="00B20F69">
              <w:rPr>
                <w:sz w:val="22"/>
                <w:szCs w:val="22"/>
              </w:rPr>
              <w:t xml:space="preserve"> and</w:t>
            </w:r>
            <w:bookmarkStart w:id="0" w:name="_GoBack"/>
            <w:bookmarkEnd w:id="0"/>
            <w:r>
              <w:rPr>
                <w:sz w:val="22"/>
                <w:szCs w:val="22"/>
              </w:rPr>
              <w:t xml:space="preserve"> 7</w:t>
            </w:r>
            <w:r w:rsidR="009B57CB" w:rsidRPr="00576CA4">
              <w:rPr>
                <w:sz w:val="22"/>
                <w:szCs w:val="22"/>
              </w:rPr>
              <w:t xml:space="preserve">      Room: </w:t>
            </w:r>
            <w:r>
              <w:rPr>
                <w:sz w:val="22"/>
                <w:szCs w:val="22"/>
              </w:rPr>
              <w:t>1402</w:t>
            </w:r>
          </w:p>
        </w:tc>
        <w:tc>
          <w:tcPr>
            <w:tcW w:w="3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Pr="00576CA4" w:rsidRDefault="003E6169">
            <w:pPr>
              <w:jc w:val="center"/>
              <w:rPr>
                <w:sz w:val="22"/>
                <w:szCs w:val="22"/>
              </w:rPr>
            </w:pPr>
            <w:r w:rsidRPr="00576CA4">
              <w:rPr>
                <w:sz w:val="22"/>
                <w:szCs w:val="22"/>
              </w:rPr>
              <w:t>N/A</w:t>
            </w:r>
          </w:p>
        </w:tc>
      </w:tr>
    </w:tbl>
    <w:p w:rsidR="009B57CB" w:rsidRPr="00576CA4" w:rsidRDefault="009B57CB">
      <w:pPr>
        <w:rPr>
          <w:b/>
          <w:bCs/>
          <w:sz w:val="22"/>
          <w:szCs w:val="22"/>
        </w:rPr>
      </w:pPr>
      <w:r w:rsidRPr="00576CA4">
        <w:rPr>
          <w:b/>
          <w:bCs/>
          <w:sz w:val="22"/>
          <w:szCs w:val="22"/>
        </w:rPr>
        <w:t xml:space="preserve"> </w:t>
      </w:r>
    </w:p>
    <w:tbl>
      <w:tblPr>
        <w:tblW w:w="0" w:type="auto"/>
        <w:tblInd w:w="20" w:type="dxa"/>
        <w:tblLook w:val="0000" w:firstRow="0" w:lastRow="0" w:firstColumn="0" w:lastColumn="0" w:noHBand="0" w:noVBand="0"/>
      </w:tblPr>
      <w:tblGrid>
        <w:gridCol w:w="10800"/>
      </w:tblGrid>
      <w:tr w:rsidR="00371AE1" w:rsidRPr="00576CA4" w:rsidTr="00A042C0">
        <w:tc>
          <w:tcPr>
            <w:tcW w:w="11016"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371AE1" w:rsidRPr="00576CA4" w:rsidRDefault="00371AE1" w:rsidP="00A042C0">
            <w:pPr>
              <w:rPr>
                <w:sz w:val="22"/>
                <w:szCs w:val="22"/>
              </w:rPr>
            </w:pPr>
            <w:r w:rsidRPr="00576CA4">
              <w:rPr>
                <w:color w:val="FFFFFF"/>
                <w:sz w:val="22"/>
                <w:szCs w:val="22"/>
              </w:rPr>
              <w:t>Required/Recommended  Supplies</w:t>
            </w:r>
          </w:p>
        </w:tc>
      </w:tr>
      <w:tr w:rsidR="00371AE1" w:rsidRPr="00576CA4" w:rsidTr="00A042C0">
        <w:tc>
          <w:tcPr>
            <w:tcW w:w="11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95B24" w:rsidRPr="00576CA4" w:rsidRDefault="00995B24" w:rsidP="00A042C0">
            <w:pPr>
              <w:rPr>
                <w:sz w:val="22"/>
                <w:szCs w:val="22"/>
              </w:rPr>
            </w:pPr>
            <w:r w:rsidRPr="00576CA4">
              <w:rPr>
                <w:sz w:val="22"/>
                <w:szCs w:val="22"/>
              </w:rPr>
              <w:t>Students are required to bring 1 – 3 Ring Binder with Dividers and Loose Leaf Paper</w:t>
            </w:r>
          </w:p>
          <w:p w:rsidR="00371AE1" w:rsidRPr="00576CA4" w:rsidRDefault="00995B24" w:rsidP="00A042C0">
            <w:pPr>
              <w:rPr>
                <w:sz w:val="22"/>
                <w:szCs w:val="22"/>
              </w:rPr>
            </w:pPr>
            <w:r w:rsidRPr="00576CA4">
              <w:rPr>
                <w:sz w:val="22"/>
                <w:szCs w:val="22"/>
              </w:rPr>
              <w:t>Kleenex and Hand Sanitizer are</w:t>
            </w:r>
            <w:r w:rsidR="00371AE1" w:rsidRPr="00576CA4">
              <w:rPr>
                <w:sz w:val="22"/>
                <w:szCs w:val="22"/>
              </w:rPr>
              <w:t xml:space="preserve"> always welcome</w:t>
            </w:r>
            <w:r w:rsidRPr="00576CA4">
              <w:rPr>
                <w:sz w:val="22"/>
                <w:szCs w:val="22"/>
              </w:rPr>
              <w:t xml:space="preserve"> as well.</w:t>
            </w:r>
          </w:p>
          <w:p w:rsidR="00371AE1" w:rsidRPr="00576CA4" w:rsidRDefault="00371AE1" w:rsidP="00A042C0">
            <w:pPr>
              <w:rPr>
                <w:sz w:val="22"/>
                <w:szCs w:val="22"/>
              </w:rPr>
            </w:pPr>
          </w:p>
          <w:p w:rsidR="006567C5" w:rsidRPr="006567C5" w:rsidRDefault="006567C5" w:rsidP="006567C5">
            <w:pPr>
              <w:rPr>
                <w:rStyle w:val="apple-style-span"/>
                <w:b/>
                <w:sz w:val="22"/>
                <w:szCs w:val="22"/>
              </w:rPr>
            </w:pPr>
            <w:r w:rsidRPr="006567C5">
              <w:rPr>
                <w:rStyle w:val="apple-style-span"/>
                <w:b/>
                <w:sz w:val="22"/>
                <w:szCs w:val="22"/>
              </w:rPr>
              <w:t>Economics and Personal Finance, 1st Edition</w:t>
            </w:r>
            <w:r>
              <w:rPr>
                <w:rStyle w:val="apple-style-span"/>
                <w:b/>
                <w:sz w:val="22"/>
                <w:szCs w:val="22"/>
              </w:rPr>
              <w:t xml:space="preserve"> (Provided)</w:t>
            </w:r>
          </w:p>
          <w:p w:rsidR="006567C5" w:rsidRPr="006567C5" w:rsidRDefault="006567C5" w:rsidP="006567C5">
            <w:pPr>
              <w:rPr>
                <w:rStyle w:val="apple-style-span"/>
                <w:sz w:val="22"/>
                <w:szCs w:val="22"/>
              </w:rPr>
            </w:pPr>
            <w:r w:rsidRPr="006567C5">
              <w:rPr>
                <w:rStyle w:val="apple-style-span"/>
                <w:sz w:val="22"/>
                <w:szCs w:val="22"/>
              </w:rPr>
              <w:t>Irvin Tucker University of North Carolina, Charlotte</w:t>
            </w:r>
          </w:p>
          <w:p w:rsidR="006567C5" w:rsidRPr="006567C5" w:rsidRDefault="006567C5" w:rsidP="006567C5">
            <w:pPr>
              <w:rPr>
                <w:rStyle w:val="apple-style-span"/>
                <w:sz w:val="22"/>
                <w:szCs w:val="22"/>
              </w:rPr>
            </w:pPr>
            <w:r w:rsidRPr="006567C5">
              <w:rPr>
                <w:rStyle w:val="apple-style-span"/>
                <w:sz w:val="22"/>
                <w:szCs w:val="22"/>
              </w:rPr>
              <w:t>Joan Ryan Clackamas Community College</w:t>
            </w:r>
          </w:p>
          <w:p w:rsidR="00371AE1" w:rsidRPr="00576CA4" w:rsidRDefault="006567C5" w:rsidP="006567C5">
            <w:pPr>
              <w:rPr>
                <w:sz w:val="22"/>
                <w:szCs w:val="22"/>
              </w:rPr>
            </w:pPr>
            <w:r w:rsidRPr="006567C5">
              <w:rPr>
                <w:rStyle w:val="apple-style-span"/>
                <w:sz w:val="22"/>
                <w:szCs w:val="22"/>
              </w:rPr>
              <w:t xml:space="preserve">ISBN-10: 1133562108  </w:t>
            </w:r>
          </w:p>
        </w:tc>
      </w:tr>
    </w:tbl>
    <w:p w:rsidR="00371AE1" w:rsidRDefault="00371AE1"/>
    <w:tbl>
      <w:tblPr>
        <w:tblW w:w="0" w:type="auto"/>
        <w:tblInd w:w="20" w:type="dxa"/>
        <w:tblLook w:val="0000" w:firstRow="0" w:lastRow="0" w:firstColumn="0" w:lastColumn="0" w:noHBand="0" w:noVBand="0"/>
      </w:tblPr>
      <w:tblGrid>
        <w:gridCol w:w="10800"/>
      </w:tblGrid>
      <w:tr w:rsidR="009B57CB">
        <w:tc>
          <w:tcPr>
            <w:tcW w:w="11016"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 xml:space="preserve">Course Description </w:t>
            </w:r>
            <w:r w:rsidR="00576CA4">
              <w:rPr>
                <w:color w:val="FFFFFF"/>
                <w:sz w:val="22"/>
                <w:szCs w:val="22"/>
              </w:rPr>
              <w:t>/ Topic Outline</w:t>
            </w:r>
          </w:p>
        </w:tc>
      </w:tr>
      <w:tr w:rsidR="009B57CB">
        <w:tc>
          <w:tcPr>
            <w:tcW w:w="11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Default="00B56531">
            <w:pPr>
              <w:rPr>
                <w:rStyle w:val="apple-style-span"/>
                <w:rFonts w:cs="Times New Roman"/>
                <w:bCs/>
                <w:sz w:val="22"/>
                <w:szCs w:val="22"/>
              </w:rPr>
            </w:pPr>
            <w:r w:rsidRPr="00576CA4">
              <w:rPr>
                <w:rStyle w:val="apple-style-span"/>
                <w:rFonts w:cs="Times New Roman"/>
                <w:bCs/>
                <w:sz w:val="22"/>
                <w:szCs w:val="22"/>
              </w:rPr>
              <w:t xml:space="preserve">Emphasizes </w:t>
            </w:r>
            <w:r w:rsidR="00576CA4" w:rsidRPr="00576CA4">
              <w:rPr>
                <w:rStyle w:val="apple-style-span"/>
                <w:rFonts w:cs="Times New Roman"/>
                <w:bCs/>
                <w:sz w:val="22"/>
                <w:szCs w:val="22"/>
              </w:rPr>
              <w:t>both Micro and Macro Economic Principles while at the same time providing students real world and relevant “Economic Principles”</w:t>
            </w:r>
            <w:r w:rsidR="006567C5">
              <w:rPr>
                <w:rStyle w:val="apple-style-span"/>
                <w:rFonts w:cs="Times New Roman"/>
                <w:bCs/>
                <w:sz w:val="22"/>
                <w:szCs w:val="22"/>
              </w:rPr>
              <w:t xml:space="preserve"> as well as personal financial literacy</w:t>
            </w:r>
          </w:p>
          <w:p w:rsidR="006567C5" w:rsidRPr="00576CA4" w:rsidRDefault="006567C5">
            <w:pPr>
              <w:rPr>
                <w:rStyle w:val="apple-style-span"/>
                <w:rFonts w:cs="Times New Roman"/>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3"/>
            </w:tblGrid>
            <w:tr w:rsidR="00503850" w:rsidRPr="00576CA4" w:rsidTr="009B57CB">
              <w:tc>
                <w:tcPr>
                  <w:tcW w:w="5382" w:type="dxa"/>
                </w:tcPr>
                <w:p w:rsidR="00503850" w:rsidRPr="00503850" w:rsidRDefault="00503850" w:rsidP="00503850">
                  <w:pPr>
                    <w:jc w:val="center"/>
                    <w:rPr>
                      <w:rStyle w:val="apple-style-span"/>
                      <w:rFonts w:cs="Times New Roman"/>
                      <w:b/>
                      <w:bCs/>
                      <w:sz w:val="22"/>
                      <w:szCs w:val="22"/>
                      <w:u w:val="single"/>
                    </w:rPr>
                  </w:pPr>
                  <w:r w:rsidRPr="00503850">
                    <w:rPr>
                      <w:rStyle w:val="apple-style-span"/>
                      <w:rFonts w:cs="Times New Roman"/>
                      <w:b/>
                      <w:bCs/>
                      <w:sz w:val="22"/>
                      <w:szCs w:val="22"/>
                      <w:u w:val="single"/>
                    </w:rPr>
                    <w:t>Quarter 1</w:t>
                  </w:r>
                </w:p>
              </w:tc>
              <w:tc>
                <w:tcPr>
                  <w:tcW w:w="5383" w:type="dxa"/>
                </w:tcPr>
                <w:p w:rsidR="00503850" w:rsidRPr="00503850" w:rsidRDefault="00503850" w:rsidP="00503850">
                  <w:pPr>
                    <w:jc w:val="center"/>
                    <w:rPr>
                      <w:rStyle w:val="apple-style-span"/>
                      <w:rFonts w:cs="Times New Roman"/>
                      <w:b/>
                      <w:bCs/>
                      <w:sz w:val="22"/>
                      <w:szCs w:val="22"/>
                      <w:u w:val="single"/>
                    </w:rPr>
                  </w:pPr>
                  <w:r w:rsidRPr="00503850">
                    <w:rPr>
                      <w:rStyle w:val="apple-style-span"/>
                      <w:rFonts w:cs="Times New Roman"/>
                      <w:b/>
                      <w:bCs/>
                      <w:sz w:val="22"/>
                      <w:szCs w:val="22"/>
                      <w:u w:val="single"/>
                    </w:rPr>
                    <w:t>Quarter 2</w:t>
                  </w:r>
                </w:p>
              </w:tc>
            </w:tr>
            <w:tr w:rsidR="006101CB" w:rsidRPr="00576CA4" w:rsidTr="009B57CB">
              <w:tc>
                <w:tcPr>
                  <w:tcW w:w="5382" w:type="dxa"/>
                </w:tcPr>
                <w:p w:rsidR="006101CB" w:rsidRPr="00576CA4" w:rsidRDefault="006567C5" w:rsidP="00546981">
                  <w:pPr>
                    <w:ind w:left="1080"/>
                    <w:rPr>
                      <w:rStyle w:val="apple-style-span"/>
                      <w:rFonts w:cs="Times New Roman"/>
                      <w:bCs/>
                      <w:sz w:val="22"/>
                      <w:szCs w:val="22"/>
                    </w:rPr>
                  </w:pPr>
                  <w:r>
                    <w:rPr>
                      <w:rStyle w:val="apple-style-span"/>
                      <w:rFonts w:cs="Times New Roman"/>
                      <w:bCs/>
                      <w:sz w:val="22"/>
                      <w:szCs w:val="22"/>
                    </w:rPr>
                    <w:t>Unit 1: Introduction to Free Enterprise</w:t>
                  </w:r>
                </w:p>
              </w:tc>
              <w:tc>
                <w:tcPr>
                  <w:tcW w:w="5383" w:type="dxa"/>
                </w:tcPr>
                <w:p w:rsidR="006101CB" w:rsidRPr="00576CA4" w:rsidRDefault="006567C5" w:rsidP="004235E5">
                  <w:pPr>
                    <w:rPr>
                      <w:rStyle w:val="apple-style-span"/>
                      <w:rFonts w:cs="Times New Roman"/>
                      <w:bCs/>
                      <w:sz w:val="22"/>
                      <w:szCs w:val="22"/>
                    </w:rPr>
                  </w:pPr>
                  <w:r>
                    <w:rPr>
                      <w:rStyle w:val="apple-style-span"/>
                      <w:rFonts w:cs="Times New Roman"/>
                      <w:bCs/>
                      <w:sz w:val="22"/>
                      <w:szCs w:val="22"/>
                    </w:rPr>
                    <w:t>Unit 5: Measure Economic Performance</w:t>
                  </w:r>
                </w:p>
              </w:tc>
            </w:tr>
            <w:tr w:rsidR="006101CB" w:rsidRPr="00576CA4" w:rsidTr="009B57CB">
              <w:tc>
                <w:tcPr>
                  <w:tcW w:w="5382" w:type="dxa"/>
                </w:tcPr>
                <w:p w:rsidR="006101CB" w:rsidRPr="00576CA4" w:rsidRDefault="006567C5" w:rsidP="00546981">
                  <w:pPr>
                    <w:ind w:left="1080"/>
                    <w:rPr>
                      <w:rStyle w:val="apple-style-span"/>
                      <w:rFonts w:cs="Times New Roman"/>
                      <w:bCs/>
                      <w:sz w:val="22"/>
                      <w:szCs w:val="22"/>
                    </w:rPr>
                  </w:pPr>
                  <w:r>
                    <w:rPr>
                      <w:rStyle w:val="apple-style-span"/>
                      <w:rFonts w:cs="Times New Roman"/>
                      <w:bCs/>
                      <w:sz w:val="22"/>
                      <w:szCs w:val="22"/>
                    </w:rPr>
                    <w:t>Unit 2: Free Markets in Action</w:t>
                  </w:r>
                </w:p>
              </w:tc>
              <w:tc>
                <w:tcPr>
                  <w:tcW w:w="5383" w:type="dxa"/>
                </w:tcPr>
                <w:p w:rsidR="006101CB" w:rsidRPr="00576CA4" w:rsidRDefault="006567C5" w:rsidP="004235E5">
                  <w:pPr>
                    <w:rPr>
                      <w:rStyle w:val="apple-style-span"/>
                      <w:rFonts w:cs="Times New Roman"/>
                      <w:bCs/>
                      <w:sz w:val="22"/>
                      <w:szCs w:val="22"/>
                    </w:rPr>
                  </w:pPr>
                  <w:r>
                    <w:rPr>
                      <w:rStyle w:val="apple-style-span"/>
                      <w:rFonts w:cs="Times New Roman"/>
                      <w:bCs/>
                      <w:sz w:val="22"/>
                      <w:szCs w:val="22"/>
                    </w:rPr>
                    <w:t>Unit 6: Government in the Macro Economy</w:t>
                  </w:r>
                </w:p>
              </w:tc>
            </w:tr>
            <w:tr w:rsidR="006101CB" w:rsidRPr="00576CA4" w:rsidTr="009B57CB">
              <w:tc>
                <w:tcPr>
                  <w:tcW w:w="5382" w:type="dxa"/>
                </w:tcPr>
                <w:p w:rsidR="006101CB" w:rsidRPr="00576CA4" w:rsidRDefault="006567C5" w:rsidP="00546981">
                  <w:pPr>
                    <w:ind w:left="1080"/>
                    <w:rPr>
                      <w:rStyle w:val="apple-style-span"/>
                      <w:rFonts w:cs="Times New Roman"/>
                      <w:bCs/>
                      <w:sz w:val="22"/>
                      <w:szCs w:val="22"/>
                    </w:rPr>
                  </w:pPr>
                  <w:r>
                    <w:rPr>
                      <w:rStyle w:val="apple-style-span"/>
                      <w:rFonts w:cs="Times New Roman"/>
                      <w:bCs/>
                      <w:sz w:val="22"/>
                      <w:szCs w:val="22"/>
                    </w:rPr>
                    <w:t>Unit 3: Business in Action</w:t>
                  </w:r>
                </w:p>
              </w:tc>
              <w:tc>
                <w:tcPr>
                  <w:tcW w:w="5383" w:type="dxa"/>
                </w:tcPr>
                <w:p w:rsidR="00546981" w:rsidRPr="00576CA4" w:rsidRDefault="006567C5" w:rsidP="004235E5">
                  <w:pPr>
                    <w:rPr>
                      <w:rStyle w:val="apple-style-span"/>
                      <w:rFonts w:cs="Times New Roman"/>
                      <w:bCs/>
                      <w:sz w:val="22"/>
                      <w:szCs w:val="22"/>
                    </w:rPr>
                  </w:pPr>
                  <w:r>
                    <w:rPr>
                      <w:rStyle w:val="apple-style-span"/>
                      <w:rFonts w:cs="Times New Roman"/>
                      <w:bCs/>
                      <w:sz w:val="22"/>
                      <w:szCs w:val="22"/>
                    </w:rPr>
                    <w:t>Unit 7: Global Trade and Investing</w:t>
                  </w:r>
                </w:p>
              </w:tc>
            </w:tr>
            <w:tr w:rsidR="006101CB" w:rsidRPr="00576CA4" w:rsidTr="009B57CB">
              <w:tc>
                <w:tcPr>
                  <w:tcW w:w="5382" w:type="dxa"/>
                </w:tcPr>
                <w:p w:rsidR="006101CB" w:rsidRPr="00576CA4" w:rsidRDefault="006567C5" w:rsidP="00546981">
                  <w:pPr>
                    <w:ind w:left="1080"/>
                    <w:rPr>
                      <w:rStyle w:val="apple-style-span"/>
                      <w:rFonts w:cs="Times New Roman"/>
                      <w:bCs/>
                      <w:sz w:val="22"/>
                      <w:szCs w:val="22"/>
                    </w:rPr>
                  </w:pPr>
                  <w:r>
                    <w:rPr>
                      <w:rStyle w:val="apple-style-span"/>
                      <w:rFonts w:cs="Times New Roman"/>
                      <w:bCs/>
                      <w:sz w:val="22"/>
                      <w:szCs w:val="22"/>
                    </w:rPr>
                    <w:t>Unit 4: Money and Banking</w:t>
                  </w:r>
                  <w:r w:rsidR="00B56531" w:rsidRPr="00576CA4">
                    <w:rPr>
                      <w:rStyle w:val="apple-style-span"/>
                      <w:rFonts w:cs="Times New Roman"/>
                      <w:bCs/>
                      <w:sz w:val="22"/>
                      <w:szCs w:val="22"/>
                    </w:rPr>
                    <w:t xml:space="preserve"> </w:t>
                  </w:r>
                </w:p>
              </w:tc>
              <w:tc>
                <w:tcPr>
                  <w:tcW w:w="5383" w:type="dxa"/>
                </w:tcPr>
                <w:p w:rsidR="00B56531" w:rsidRPr="00576CA4" w:rsidRDefault="00B56531" w:rsidP="004235E5">
                  <w:pPr>
                    <w:rPr>
                      <w:rStyle w:val="apple-style-span"/>
                      <w:rFonts w:cs="Times New Roman"/>
                      <w:bCs/>
                      <w:sz w:val="22"/>
                      <w:szCs w:val="22"/>
                    </w:rPr>
                  </w:pPr>
                </w:p>
              </w:tc>
            </w:tr>
          </w:tbl>
          <w:p w:rsidR="00134F02" w:rsidRDefault="00134F02" w:rsidP="006101CB">
            <w:pPr>
              <w:pStyle w:val="ListParagraph"/>
              <w:ind w:left="0"/>
              <w:rPr>
                <w:rFonts w:ascii="Arial" w:hAnsi="Arial" w:cs="Arial"/>
                <w:color w:val="222222"/>
                <w:sz w:val="18"/>
                <w:szCs w:val="18"/>
              </w:rPr>
            </w:pPr>
          </w:p>
          <w:p w:rsidR="00134F02" w:rsidRDefault="00134F02" w:rsidP="006101CB">
            <w:pPr>
              <w:pStyle w:val="ListParagraph"/>
              <w:ind w:left="0"/>
              <w:rPr>
                <w:rFonts w:ascii="Arial" w:hAnsi="Arial" w:cs="Arial"/>
                <w:color w:val="222222"/>
                <w:sz w:val="18"/>
                <w:szCs w:val="18"/>
              </w:rPr>
            </w:pPr>
          </w:p>
          <w:tbl>
            <w:tblPr>
              <w:tblStyle w:val="TableGrid"/>
              <w:tblW w:w="0" w:type="auto"/>
              <w:tblLook w:val="04A0" w:firstRow="1" w:lastRow="0" w:firstColumn="1" w:lastColumn="0" w:noHBand="0" w:noVBand="1"/>
            </w:tblPr>
            <w:tblGrid>
              <w:gridCol w:w="5382"/>
              <w:gridCol w:w="5383"/>
            </w:tblGrid>
            <w:tr w:rsidR="00134F02" w:rsidTr="00134F02">
              <w:tc>
                <w:tcPr>
                  <w:tcW w:w="5382" w:type="dxa"/>
                </w:tcPr>
                <w:p w:rsidR="00134F02" w:rsidRPr="00134F02" w:rsidRDefault="00134F02" w:rsidP="00134F02">
                  <w:pPr>
                    <w:pStyle w:val="ListParagraph"/>
                    <w:ind w:left="0"/>
                    <w:rPr>
                      <w:rFonts w:asciiTheme="minorHAnsi" w:hAnsiTheme="minorHAnsi" w:cs="Arial"/>
                      <w:b/>
                      <w:color w:val="222222"/>
                      <w:sz w:val="22"/>
                      <w:szCs w:val="22"/>
                      <w:u w:val="single"/>
                      <w:shd w:val="clear" w:color="auto" w:fill="FFFFFF"/>
                    </w:rPr>
                  </w:pPr>
                  <w:r w:rsidRPr="00134F02">
                    <w:rPr>
                      <w:rFonts w:asciiTheme="minorHAnsi" w:hAnsiTheme="minorHAnsi" w:cs="Arial"/>
                      <w:b/>
                      <w:color w:val="222222"/>
                      <w:sz w:val="22"/>
                      <w:szCs w:val="22"/>
                      <w:u w:val="single"/>
                      <w:shd w:val="clear" w:color="auto" w:fill="FFFFFF"/>
                    </w:rPr>
                    <w:t>Topics</w:t>
                  </w:r>
                </w:p>
                <w:p w:rsidR="00134F02" w:rsidRPr="00134F02" w:rsidRDefault="00134F02" w:rsidP="00134F02">
                  <w:pPr>
                    <w:pStyle w:val="ListParagraph"/>
                    <w:ind w:left="0"/>
                    <w:rPr>
                      <w:rFonts w:asciiTheme="minorHAnsi" w:hAnsiTheme="minorHAnsi" w:cs="Arial"/>
                      <w:color w:val="222222"/>
                      <w:sz w:val="22"/>
                      <w:szCs w:val="22"/>
                    </w:rPr>
                  </w:pPr>
                  <w:r w:rsidRPr="00134F02">
                    <w:rPr>
                      <w:rFonts w:asciiTheme="minorHAnsi" w:hAnsiTheme="minorHAnsi" w:cs="Arial"/>
                      <w:color w:val="222222"/>
                      <w:sz w:val="22"/>
                      <w:szCs w:val="22"/>
                      <w:shd w:val="clear" w:color="auto" w:fill="FFFFFF"/>
                    </w:rPr>
                    <w:t>1. The Free Enterprise System</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2. Understand Decision Making</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3. Market Demand</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4. Market Supply and Free Market Price</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5. Market Structures</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6. Business Organizations</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7. Business Ownership</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8. Money and the Banking System</w:t>
                  </w:r>
                  <w:r w:rsidRPr="00134F02">
                    <w:rPr>
                      <w:rFonts w:asciiTheme="minorHAnsi" w:hAnsiTheme="minorHAnsi" w:cs="Arial"/>
                      <w:color w:val="222222"/>
                      <w:sz w:val="22"/>
                      <w:szCs w:val="22"/>
                    </w:rPr>
                    <w:br/>
                  </w:r>
                </w:p>
              </w:tc>
              <w:tc>
                <w:tcPr>
                  <w:tcW w:w="5383" w:type="dxa"/>
                </w:tcPr>
                <w:p w:rsidR="00134F02" w:rsidRDefault="00134F02" w:rsidP="00134F02">
                  <w:pPr>
                    <w:pStyle w:val="ListParagraph"/>
                    <w:ind w:left="0"/>
                    <w:rPr>
                      <w:rFonts w:asciiTheme="minorHAnsi" w:hAnsiTheme="minorHAnsi" w:cs="Arial"/>
                      <w:color w:val="222222"/>
                      <w:sz w:val="22"/>
                      <w:szCs w:val="22"/>
                      <w:shd w:val="clear" w:color="auto" w:fill="FFFFFF"/>
                    </w:rPr>
                  </w:pPr>
                  <w:r w:rsidRPr="00134F02">
                    <w:rPr>
                      <w:rFonts w:asciiTheme="minorHAnsi" w:hAnsiTheme="minorHAnsi" w:cs="Arial"/>
                      <w:color w:val="222222"/>
                      <w:sz w:val="22"/>
                      <w:szCs w:val="22"/>
                      <w:shd w:val="clear" w:color="auto" w:fill="FFFFFF"/>
                    </w:rPr>
                    <w:t>9. Fin</w:t>
                  </w:r>
                  <w:r w:rsidR="0041694A">
                    <w:rPr>
                      <w:rFonts w:asciiTheme="minorHAnsi" w:hAnsiTheme="minorHAnsi" w:cs="Arial"/>
                      <w:color w:val="222222"/>
                      <w:sz w:val="22"/>
                      <w:szCs w:val="22"/>
                      <w:shd w:val="clear" w:color="auto" w:fill="FFFFFF"/>
                    </w:rPr>
                    <w:t>ancial Institutions and Markets</w:t>
                  </w:r>
                </w:p>
                <w:p w:rsidR="00134F02" w:rsidRPr="00134F02" w:rsidRDefault="0041694A" w:rsidP="00134F02">
                  <w:pPr>
                    <w:pStyle w:val="ListParagraph"/>
                    <w:ind w:left="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10. Consumer Credit and Debt</w:t>
                  </w:r>
                </w:p>
                <w:p w:rsidR="00134F02" w:rsidRPr="00134F02" w:rsidRDefault="00134F02" w:rsidP="00134F02">
                  <w:pPr>
                    <w:pStyle w:val="ListParagraph"/>
                    <w:ind w:left="0"/>
                    <w:rPr>
                      <w:rFonts w:asciiTheme="minorHAnsi" w:hAnsiTheme="minorHAnsi" w:cs="Arial"/>
                      <w:color w:val="222222"/>
                      <w:sz w:val="22"/>
                      <w:szCs w:val="22"/>
                      <w:shd w:val="clear" w:color="auto" w:fill="FFFFFF"/>
                    </w:rPr>
                  </w:pPr>
                  <w:r w:rsidRPr="00134F02">
                    <w:rPr>
                      <w:rFonts w:asciiTheme="minorHAnsi" w:hAnsiTheme="minorHAnsi" w:cs="Arial"/>
                      <w:color w:val="222222"/>
                      <w:sz w:val="22"/>
                      <w:szCs w:val="22"/>
                      <w:shd w:val="clear" w:color="auto" w:fill="FFFFFF"/>
                    </w:rPr>
                    <w:t>11. Gross Domestic Product and Growth</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12. Challenges to Free Enterprise</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13. Federal Budget Balancing Act</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14. Federal Reserve and Monetary Policy</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15. International Trade</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16. Build Assets and Wealth</w:t>
                  </w:r>
                  <w:r w:rsidRPr="00134F02">
                    <w:rPr>
                      <w:rFonts w:asciiTheme="minorHAnsi" w:hAnsiTheme="minorHAnsi" w:cs="Arial"/>
                      <w:color w:val="222222"/>
                      <w:sz w:val="22"/>
                      <w:szCs w:val="22"/>
                    </w:rPr>
                    <w:br/>
                  </w:r>
                  <w:r w:rsidRPr="00134F02">
                    <w:rPr>
                      <w:rFonts w:asciiTheme="minorHAnsi" w:hAnsiTheme="minorHAnsi" w:cs="Arial"/>
                      <w:color w:val="222222"/>
                      <w:sz w:val="22"/>
                      <w:szCs w:val="22"/>
                      <w:shd w:val="clear" w:color="auto" w:fill="FFFFFF"/>
                    </w:rPr>
                    <w:t>17. Invest for the Future</w:t>
                  </w:r>
                  <w:r w:rsidRPr="00134F02">
                    <w:rPr>
                      <w:rFonts w:asciiTheme="minorHAnsi" w:hAnsiTheme="minorHAnsi" w:cs="Arial"/>
                      <w:color w:val="222222"/>
                      <w:sz w:val="22"/>
                      <w:szCs w:val="22"/>
                    </w:rPr>
                    <w:br/>
                  </w:r>
                </w:p>
              </w:tc>
            </w:tr>
          </w:tbl>
          <w:p w:rsidR="006567C5" w:rsidRPr="000F5E0A" w:rsidRDefault="006567C5" w:rsidP="006101CB">
            <w:pPr>
              <w:pStyle w:val="ListParagraph"/>
              <w:ind w:left="0"/>
              <w:rPr>
                <w:rFonts w:ascii="Times New Roman" w:hAnsi="Times New Roman" w:cs="Times New Roman"/>
              </w:rPr>
            </w:pPr>
          </w:p>
        </w:tc>
      </w:tr>
    </w:tbl>
    <w:p w:rsidR="009B57CB" w:rsidRDefault="009B57CB"/>
    <w:tbl>
      <w:tblPr>
        <w:tblW w:w="0" w:type="auto"/>
        <w:tblInd w:w="20" w:type="dxa"/>
        <w:tblLook w:val="0000" w:firstRow="0" w:lastRow="0" w:firstColumn="0" w:lastColumn="0" w:noHBand="0" w:noVBand="0"/>
      </w:tblPr>
      <w:tblGrid>
        <w:gridCol w:w="10800"/>
      </w:tblGrid>
      <w:tr w:rsidR="009B57CB" w:rsidTr="0054698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95B24">
            <w:r>
              <w:rPr>
                <w:color w:val="FFFFFF"/>
                <w:sz w:val="22"/>
                <w:szCs w:val="22"/>
              </w:rPr>
              <w:t>Colorado Academic Standards: Economics</w:t>
            </w:r>
          </w:p>
        </w:tc>
      </w:tr>
      <w:tr w:rsidR="009B57CB" w:rsidTr="00546981">
        <w:tc>
          <w:tcPr>
            <w:tcW w:w="1080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0" w:type="dxa"/>
              <w:bottom w:w="0" w:type="dxa"/>
              <w:right w:w="0" w:type="dxa"/>
            </w:tcMar>
          </w:tcPr>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Productive resources – natural, human, capital – are scarce; therefore choices are made about how individuals, businesses, governments, and societies allocate these resources.</w:t>
            </w:r>
          </w:p>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Economic policies affect markets.</w:t>
            </w:r>
          </w:p>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Government and competition affect markets</w:t>
            </w:r>
          </w:p>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Design, analyze, and apply plain based on short- and long-term financial goals (PFL).</w:t>
            </w:r>
          </w:p>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Analyze strategic spending, saving, and investment options to achieve the objectives of diversification, liquidity, income, and growth (PFL).</w:t>
            </w:r>
          </w:p>
          <w:p w:rsidR="00995B24" w:rsidRPr="00576CA4" w:rsidRDefault="00995B24" w:rsidP="00995B24">
            <w:pPr>
              <w:pStyle w:val="ListParagraph"/>
              <w:numPr>
                <w:ilvl w:val="0"/>
                <w:numId w:val="1"/>
              </w:numPr>
              <w:rPr>
                <w:rFonts w:ascii="Calibri" w:hAnsi="Calibri" w:cs="Times New Roman"/>
                <w:sz w:val="22"/>
                <w:szCs w:val="22"/>
              </w:rPr>
            </w:pPr>
            <w:r w:rsidRPr="00576CA4">
              <w:rPr>
                <w:rFonts w:ascii="Calibri" w:hAnsi="Calibri" w:cs="Times New Roman"/>
                <w:sz w:val="22"/>
                <w:szCs w:val="22"/>
              </w:rPr>
              <w:t>The components of personal credit to manage credit and debt (PFL).</w:t>
            </w:r>
          </w:p>
          <w:p w:rsidR="009B57CB" w:rsidRPr="00B56531" w:rsidRDefault="00995B24" w:rsidP="00995B24">
            <w:pPr>
              <w:pStyle w:val="ListParagraph"/>
              <w:ind w:left="360"/>
              <w:rPr>
                <w:rFonts w:ascii="Times New Roman" w:hAnsi="Times New Roman" w:cs="Times New Roman"/>
              </w:rPr>
            </w:pPr>
            <w:r w:rsidRPr="00576CA4">
              <w:rPr>
                <w:rFonts w:ascii="Calibri" w:hAnsi="Calibri" w:cs="Times New Roman"/>
                <w:sz w:val="22"/>
                <w:szCs w:val="22"/>
              </w:rPr>
              <w:t>VII.</w:t>
            </w:r>
            <w:r w:rsidR="00576CA4">
              <w:rPr>
                <w:rFonts w:ascii="Calibri" w:hAnsi="Calibri" w:cs="Times New Roman"/>
                <w:sz w:val="22"/>
                <w:szCs w:val="22"/>
              </w:rPr>
              <w:t xml:space="preserve"> </w:t>
            </w:r>
            <w:r w:rsidRPr="00576CA4">
              <w:rPr>
                <w:rFonts w:ascii="Calibri" w:hAnsi="Calibri" w:cs="Times New Roman"/>
                <w:sz w:val="22"/>
                <w:szCs w:val="22"/>
              </w:rPr>
              <w:t>Identify, develop, and evaluate risk-management strategies (PFL).</w:t>
            </w:r>
          </w:p>
        </w:tc>
      </w:tr>
    </w:tbl>
    <w:p w:rsidR="009B57CB" w:rsidRDefault="009B57CB"/>
    <w:tbl>
      <w:tblPr>
        <w:tblW w:w="11000" w:type="dxa"/>
        <w:tblInd w:w="10" w:type="dxa"/>
        <w:tblLook w:val="0000" w:firstRow="0" w:lastRow="0" w:firstColumn="0" w:lastColumn="0" w:noHBand="0" w:noVBand="0"/>
      </w:tblPr>
      <w:tblGrid>
        <w:gridCol w:w="1124"/>
        <w:gridCol w:w="9876"/>
      </w:tblGrid>
      <w:tr w:rsidR="009B57CB" w:rsidTr="00371AE1">
        <w:tc>
          <w:tcPr>
            <w:tcW w:w="10800" w:type="dxa"/>
            <w:gridSpan w:val="2"/>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lastRenderedPageBreak/>
              <w:t>Standards Based Grading System</w:t>
            </w:r>
          </w:p>
        </w:tc>
      </w:tr>
      <w:tr w:rsidR="009B57CB" w:rsidTr="00371AE1">
        <w:tc>
          <w:tcPr>
            <w:tcW w:w="108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1AE1" w:rsidRPr="00371AE1" w:rsidRDefault="009B57CB">
            <w:pPr>
              <w:rPr>
                <w:rFonts w:ascii="Arial" w:eastAsia="Arial" w:hAnsi="Arial" w:cs="Arial"/>
                <w:sz w:val="22"/>
                <w:szCs w:val="22"/>
              </w:rPr>
            </w:pPr>
            <w:r>
              <w:rPr>
                <w:sz w:val="22"/>
                <w:szCs w:val="22"/>
              </w:rPr>
              <w:t>Standards-based grading measures what a student should know and be able to do at each grade level according to Colorado state content standards. Under the standards-based system, students are graded on their achievement on class content. Work habits such as class participation and attendance are recorded separately.</w:t>
            </w:r>
            <w:r>
              <w:rPr>
                <w:rFonts w:ascii="Arial" w:eastAsia="Arial" w:hAnsi="Arial" w:cs="Arial"/>
                <w:sz w:val="22"/>
                <w:szCs w:val="22"/>
              </w:rPr>
              <w:t> </w:t>
            </w:r>
          </w:p>
        </w:tc>
      </w:tr>
      <w:tr w:rsidR="00371AE1"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71AE1" w:rsidRDefault="00371AE1" w:rsidP="00A042C0">
            <w:pPr>
              <w:spacing w:line="276" w:lineRule="auto"/>
              <w:ind w:left="140" w:right="140"/>
              <w:jc w:val="center"/>
            </w:pPr>
          </w:p>
          <w:p w:rsidR="00371AE1" w:rsidRDefault="00371AE1" w:rsidP="00A042C0">
            <w:pPr>
              <w:spacing w:line="276" w:lineRule="auto"/>
              <w:ind w:left="140" w:right="140"/>
              <w:jc w:val="center"/>
              <w:rPr>
                <w:b/>
                <w:bCs/>
                <w:color w:val="FFFFFF"/>
                <w:sz w:val="22"/>
                <w:szCs w:val="22"/>
                <w:shd w:val="solid" w:color="4F81BD" w:fill="4F81BD"/>
              </w:rPr>
            </w:pPr>
            <w:r>
              <w:rPr>
                <w:b/>
                <w:bCs/>
                <w:color w:val="FFFFFF"/>
                <w:sz w:val="22"/>
                <w:szCs w:val="22"/>
                <w:shd w:val="solid" w:color="4F81BD" w:fill="4F81BD"/>
              </w:rPr>
              <w:t>Grades</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71AE1" w:rsidRDefault="00371AE1" w:rsidP="00A042C0">
            <w:pPr>
              <w:spacing w:line="276" w:lineRule="auto"/>
              <w:ind w:left="140" w:right="140"/>
            </w:pPr>
            <w:r>
              <w:rPr>
                <w:b/>
                <w:bCs/>
                <w:color w:val="FFFFFF"/>
                <w:sz w:val="22"/>
                <w:szCs w:val="22"/>
                <w:shd w:val="solid" w:color="4F81BD" w:fill="4F81BD"/>
              </w:rPr>
              <w:t>Grade book marks are converted  to a single letter grade for eligibility and quarterly reports.  Grades are recorded on an official student transcript.</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A</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270"/>
              <w:rPr>
                <w:sz w:val="20"/>
                <w:szCs w:val="20"/>
              </w:rPr>
            </w:pPr>
            <w:r w:rsidRPr="00576CA4">
              <w:rPr>
                <w:sz w:val="20"/>
                <w:szCs w:val="20"/>
              </w:rPr>
              <w:t>The student consistently and independently demonstrates proficient and advanced understanding in course concepts and skills in a variety of assessments.</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B</w:t>
            </w:r>
          </w:p>
        </w:tc>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sz w:val="20"/>
                <w:szCs w:val="20"/>
              </w:rPr>
              <w:t>The student independently demonstrates proficiency in course concepts</w:t>
            </w:r>
          </w:p>
          <w:p w:rsidR="00371AE1" w:rsidRPr="00576CA4" w:rsidRDefault="00371AE1" w:rsidP="00A042C0">
            <w:pPr>
              <w:spacing w:line="276" w:lineRule="auto"/>
              <w:ind w:left="140" w:right="140"/>
              <w:rPr>
                <w:sz w:val="20"/>
                <w:szCs w:val="20"/>
              </w:rPr>
            </w:pPr>
            <w:r w:rsidRPr="00576CA4">
              <w:rPr>
                <w:sz w:val="20"/>
                <w:szCs w:val="20"/>
              </w:rPr>
              <w:t>and skills in a variety of assessments.</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C</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sz w:val="20"/>
                <w:szCs w:val="20"/>
              </w:rPr>
              <w:t>The student demonstrates proficiency in course concepts and skills with teacher and peer support.</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D</w:t>
            </w:r>
          </w:p>
        </w:tc>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sz w:val="20"/>
                <w:szCs w:val="20"/>
              </w:rPr>
              <w:t>The student demonstrates limited understanding and application of course content and skills and is making progress toward proficiency.</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F</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sz w:val="20"/>
                <w:szCs w:val="20"/>
              </w:rPr>
              <w:t>The student has shown insufficient evidence to gauge understanding or progress.</w:t>
            </w:r>
          </w:p>
        </w:tc>
      </w:tr>
      <w:tr w:rsidR="00371AE1" w:rsidRPr="00576CA4" w:rsidTr="00371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sz w:val="20"/>
                <w:szCs w:val="20"/>
              </w:rPr>
              <w:t>I</w:t>
            </w:r>
          </w:p>
        </w:tc>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sz w:val="20"/>
                <w:szCs w:val="20"/>
              </w:rPr>
              <w:t>Incomplete</w:t>
            </w:r>
          </w:p>
        </w:tc>
      </w:tr>
    </w:tbl>
    <w:p w:rsidR="009B57CB" w:rsidRPr="00576CA4" w:rsidRDefault="009B57CB">
      <w:pPr>
        <w:jc w:val="both"/>
        <w:rPr>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9744"/>
      </w:tblGrid>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p>
          <w:p w:rsidR="00371AE1" w:rsidRPr="00576CA4" w:rsidRDefault="00371AE1" w:rsidP="00A042C0">
            <w:pPr>
              <w:spacing w:line="276" w:lineRule="auto"/>
              <w:ind w:left="140" w:right="140"/>
              <w:jc w:val="center"/>
              <w:rPr>
                <w:rFonts w:eastAsia="Arial" w:cs="Arial"/>
                <w:b/>
                <w:bCs/>
                <w:color w:val="FFFFFF"/>
                <w:sz w:val="20"/>
                <w:szCs w:val="20"/>
                <w:shd w:val="solid" w:color="4F81BD" w:fill="4F81BD"/>
              </w:rPr>
            </w:pPr>
            <w:r w:rsidRPr="00576CA4">
              <w:rPr>
                <w:rFonts w:eastAsia="Arial" w:cs="Arial"/>
                <w:b/>
                <w:bCs/>
                <w:color w:val="FFFFFF"/>
                <w:sz w:val="20"/>
                <w:szCs w:val="20"/>
                <w:shd w:val="solid" w:color="4F81BD" w:fill="4F81BD"/>
              </w:rPr>
              <w:t>Marks</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b/>
                <w:bCs/>
                <w:color w:val="FFFFFF"/>
                <w:sz w:val="20"/>
                <w:szCs w:val="20"/>
                <w:shd w:val="solid" w:color="4F81BD" w:fill="4F81BD"/>
              </w:rPr>
              <w:t>Marks indicate levels of proficiency on individual assessments and are recorded in teacher grade book.</w:t>
            </w:r>
          </w:p>
          <w:p w:rsidR="00371AE1" w:rsidRPr="00576CA4" w:rsidRDefault="00371AE1" w:rsidP="00A042C0">
            <w:pPr>
              <w:spacing w:line="276" w:lineRule="auto"/>
              <w:ind w:left="140" w:right="140"/>
              <w:rPr>
                <w:rFonts w:eastAsia="Arial" w:cs="Arial"/>
                <w:b/>
                <w:bCs/>
                <w:color w:val="FFFFFF"/>
                <w:sz w:val="20"/>
                <w:szCs w:val="20"/>
                <w:shd w:val="solid" w:color="4F81BD" w:fill="4F81BD"/>
              </w:rPr>
            </w:pPr>
            <w:r w:rsidRPr="00576CA4">
              <w:rPr>
                <w:rFonts w:eastAsia="Arial" w:cs="Arial"/>
                <w:b/>
                <w:bCs/>
                <w:color w:val="FFFFFF"/>
                <w:sz w:val="20"/>
                <w:szCs w:val="20"/>
                <w:shd w:val="solid" w:color="4F81BD" w:fill="4F81BD"/>
              </w:rPr>
              <w:t>Capital letters indicate summative assessments.</w:t>
            </w:r>
          </w:p>
          <w:p w:rsidR="00371AE1" w:rsidRPr="00576CA4" w:rsidRDefault="00371AE1" w:rsidP="00A042C0">
            <w:pPr>
              <w:spacing w:line="276" w:lineRule="auto"/>
              <w:ind w:left="140" w:right="140"/>
              <w:rPr>
                <w:rFonts w:eastAsia="Arial" w:cs="Arial"/>
                <w:b/>
                <w:bCs/>
                <w:color w:val="FFFFFF"/>
                <w:sz w:val="20"/>
                <w:szCs w:val="20"/>
                <w:shd w:val="solid" w:color="4F81BD" w:fill="4F81BD"/>
              </w:rPr>
            </w:pPr>
            <w:r w:rsidRPr="00576CA4">
              <w:rPr>
                <w:rFonts w:eastAsia="Arial" w:cs="Arial"/>
                <w:b/>
                <w:bCs/>
                <w:color w:val="FFFFFF"/>
                <w:sz w:val="20"/>
                <w:szCs w:val="20"/>
                <w:shd w:val="solid" w:color="4F81BD" w:fill="4F81BD"/>
              </w:rPr>
              <w:t>Lower case letters indicate formative assessments.</w:t>
            </w:r>
          </w:p>
        </w:tc>
      </w:tr>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rFonts w:eastAsia="Arial" w:cs="Arial"/>
                <w:sz w:val="20"/>
                <w:szCs w:val="20"/>
                <w:shd w:val="solid" w:color="D0D8E8" w:fill="D0D8E8"/>
              </w:rPr>
              <w:t>Adv/adv</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sz w:val="20"/>
                <w:szCs w:val="20"/>
                <w:shd w:val="solid" w:color="D0D8E8" w:fill="D0D8E8"/>
              </w:rPr>
              <w:t>Advanced</w:t>
            </w:r>
          </w:p>
        </w:tc>
      </w:tr>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rFonts w:eastAsia="Arial" w:cs="Arial"/>
                <w:sz w:val="20"/>
                <w:szCs w:val="20"/>
                <w:shd w:val="solid" w:color="E9EDF4" w:fill="E9EDF4"/>
              </w:rPr>
              <w:t>P/p</w:t>
            </w:r>
          </w:p>
        </w:tc>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sz w:val="20"/>
                <w:szCs w:val="20"/>
                <w:shd w:val="solid" w:color="E9EDF4" w:fill="E9EDF4"/>
              </w:rPr>
              <w:t>Proficient</w:t>
            </w:r>
          </w:p>
        </w:tc>
      </w:tr>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rFonts w:eastAsia="Arial" w:cs="Arial"/>
                <w:sz w:val="20"/>
                <w:szCs w:val="20"/>
                <w:shd w:val="solid" w:color="D0D8E8" w:fill="D0D8E8"/>
              </w:rPr>
              <w:t>PP/pp</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sz w:val="20"/>
                <w:szCs w:val="20"/>
                <w:shd w:val="solid" w:color="D0D8E8" w:fill="D0D8E8"/>
              </w:rPr>
              <w:t>Partially Proficient</w:t>
            </w:r>
          </w:p>
        </w:tc>
      </w:tr>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rFonts w:eastAsia="Arial" w:cs="Arial"/>
                <w:sz w:val="20"/>
                <w:szCs w:val="20"/>
                <w:shd w:val="solid" w:color="E9EDF4" w:fill="E9EDF4"/>
              </w:rPr>
              <w:t>U/u</w:t>
            </w:r>
          </w:p>
        </w:tc>
        <w:tc>
          <w:tcPr>
            <w:tcW w:w="0" w:type="auto"/>
            <w:tcBorders>
              <w:top w:val="single" w:sz="8" w:space="0" w:color="000000"/>
              <w:left w:val="single" w:sz="8" w:space="0" w:color="000000"/>
              <w:bottom w:val="single" w:sz="8" w:space="0" w:color="000000"/>
              <w:right w:val="single" w:sz="8" w:space="0" w:color="000000"/>
            </w:tcBorders>
            <w:shd w:val="solid" w:color="E9EDF4" w:fill="E9EDF4"/>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sz w:val="20"/>
                <w:szCs w:val="20"/>
                <w:shd w:val="solid" w:color="E9EDF4" w:fill="E9EDF4"/>
              </w:rPr>
              <w:t>Unsatisfactory</w:t>
            </w:r>
          </w:p>
        </w:tc>
      </w:tr>
      <w:tr w:rsidR="00371AE1" w:rsidRPr="00576CA4" w:rsidTr="00A042C0">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jc w:val="center"/>
              <w:rPr>
                <w:sz w:val="20"/>
                <w:szCs w:val="20"/>
              </w:rPr>
            </w:pPr>
            <w:r w:rsidRPr="00576CA4">
              <w:rPr>
                <w:rFonts w:eastAsia="Arial" w:cs="Arial"/>
                <w:sz w:val="20"/>
                <w:szCs w:val="20"/>
                <w:shd w:val="solid" w:color="D0D8E8" w:fill="D0D8E8"/>
              </w:rPr>
              <w:t>M/m</w:t>
            </w:r>
          </w:p>
        </w:tc>
        <w:tc>
          <w:tcPr>
            <w:tcW w:w="0" w:type="auto"/>
            <w:tcBorders>
              <w:top w:val="single" w:sz="8" w:space="0" w:color="000000"/>
              <w:left w:val="single" w:sz="8" w:space="0" w:color="000000"/>
              <w:bottom w:val="single" w:sz="8" w:space="0" w:color="000000"/>
              <w:right w:val="single" w:sz="8" w:space="0" w:color="000000"/>
            </w:tcBorders>
            <w:shd w:val="solid" w:color="D0D8E8" w:fill="D0D8E8"/>
            <w:tcMar>
              <w:top w:w="100" w:type="dxa"/>
              <w:left w:w="100" w:type="dxa"/>
              <w:bottom w:w="100" w:type="dxa"/>
              <w:right w:w="100" w:type="dxa"/>
            </w:tcMar>
          </w:tcPr>
          <w:p w:rsidR="00371AE1" w:rsidRPr="00576CA4" w:rsidRDefault="00371AE1" w:rsidP="00A042C0">
            <w:pPr>
              <w:spacing w:line="276" w:lineRule="auto"/>
              <w:ind w:left="140" w:right="140"/>
              <w:rPr>
                <w:sz w:val="20"/>
                <w:szCs w:val="20"/>
              </w:rPr>
            </w:pPr>
            <w:r w:rsidRPr="00576CA4">
              <w:rPr>
                <w:rFonts w:eastAsia="Arial" w:cs="Arial"/>
                <w:sz w:val="20"/>
                <w:szCs w:val="20"/>
                <w:shd w:val="solid" w:color="D0D8E8" w:fill="D0D8E8"/>
              </w:rPr>
              <w:t>Missing</w:t>
            </w:r>
          </w:p>
        </w:tc>
      </w:tr>
    </w:tbl>
    <w:p w:rsidR="00371AE1" w:rsidRDefault="00371AE1" w:rsidP="00371AE1">
      <w:proofErr w:type="gramStart"/>
      <w:r>
        <w:rPr>
          <w:sz w:val="22"/>
          <w:szCs w:val="22"/>
        </w:rPr>
        <w:t>(+) and (-) symbols communicate a range within a proficiency level.</w:t>
      </w:r>
      <w:proofErr w:type="gramEnd"/>
    </w:p>
    <w:p w:rsidR="00371AE1" w:rsidRDefault="00371AE1" w:rsidP="00371AE1">
      <w:pPr>
        <w:rPr>
          <w:b/>
          <w:bCs/>
          <w:sz w:val="22"/>
          <w:szCs w:val="22"/>
        </w:rPr>
      </w:pPr>
    </w:p>
    <w:p w:rsidR="00371AE1" w:rsidRDefault="00371AE1" w:rsidP="00371AE1">
      <w:pPr>
        <w:rPr>
          <w:b/>
          <w:bCs/>
          <w:sz w:val="22"/>
          <w:szCs w:val="22"/>
        </w:rPr>
      </w:pPr>
      <w:r>
        <w:rPr>
          <w:b/>
          <w:bCs/>
          <w:sz w:val="22"/>
          <w:szCs w:val="22"/>
        </w:rPr>
        <w:t>Body of Evidence:</w:t>
      </w:r>
    </w:p>
    <w:p w:rsidR="00371AE1" w:rsidRDefault="00371AE1" w:rsidP="00371AE1">
      <w:pPr>
        <w:rPr>
          <w:sz w:val="22"/>
          <w:szCs w:val="22"/>
        </w:rPr>
      </w:pPr>
      <w:r>
        <w:rPr>
          <w:sz w:val="22"/>
          <w:szCs w:val="22"/>
        </w:rPr>
        <w:t xml:space="preserve">There are two types of assessment, formative and summative. </w:t>
      </w:r>
    </w:p>
    <w:p w:rsidR="00371AE1" w:rsidRDefault="00371AE1" w:rsidP="00371AE1">
      <w:pPr>
        <w:rPr>
          <w:sz w:val="22"/>
          <w:szCs w:val="22"/>
        </w:rPr>
      </w:pPr>
    </w:p>
    <w:p w:rsidR="00371AE1" w:rsidRDefault="00371AE1" w:rsidP="00371AE1">
      <w:pPr>
        <w:rPr>
          <w:b/>
          <w:bCs/>
          <w:sz w:val="22"/>
          <w:szCs w:val="22"/>
        </w:rPr>
      </w:pPr>
      <w:r>
        <w:rPr>
          <w:b/>
          <w:bCs/>
          <w:sz w:val="22"/>
          <w:szCs w:val="22"/>
        </w:rPr>
        <w:t xml:space="preserve">Formative </w:t>
      </w:r>
      <w:r>
        <w:rPr>
          <w:sz w:val="22"/>
          <w:szCs w:val="22"/>
        </w:rPr>
        <w:t>(assessments for learning) provide direction for improvement for the student and adjustment of instruction for the teacher e.g. observation, quizzes, homework, discussion, drafts, etc. These assessments are identified by lower case letters in the teacher grade book.</w:t>
      </w:r>
    </w:p>
    <w:p w:rsidR="00371AE1" w:rsidRDefault="00371AE1" w:rsidP="00371AE1">
      <w:pPr>
        <w:rPr>
          <w:sz w:val="22"/>
          <w:szCs w:val="22"/>
        </w:rPr>
      </w:pPr>
      <w:r>
        <w:rPr>
          <w:sz w:val="22"/>
          <w:szCs w:val="22"/>
        </w:rPr>
        <w:t xml:space="preserve"> </w:t>
      </w:r>
    </w:p>
    <w:p w:rsidR="00371AE1" w:rsidRDefault="00371AE1" w:rsidP="00371AE1">
      <w:pPr>
        <w:rPr>
          <w:b/>
          <w:bCs/>
          <w:sz w:val="22"/>
          <w:szCs w:val="22"/>
        </w:rPr>
      </w:pPr>
      <w:r>
        <w:rPr>
          <w:b/>
          <w:bCs/>
          <w:sz w:val="22"/>
          <w:szCs w:val="22"/>
        </w:rPr>
        <w:t>Summative</w:t>
      </w:r>
      <w:r>
        <w:rPr>
          <w:sz w:val="22"/>
          <w:szCs w:val="22"/>
        </w:rPr>
        <w:t xml:space="preserve"> (assessment of learning) provide information to be used in making judgments about a students achievement at the end of a sequence of instruction, e.g. final drafts, tests, assignments, projects, performances, etc. These assessments are identified by capital letters in the teacher grade book.</w:t>
      </w:r>
    </w:p>
    <w:p w:rsidR="00371AE1" w:rsidRDefault="00371AE1">
      <w:pPr>
        <w:rPr>
          <w:b/>
          <w:bCs/>
          <w:sz w:val="22"/>
          <w:szCs w:val="22"/>
        </w:rPr>
      </w:pPr>
      <w:r>
        <w:rPr>
          <w:sz w:val="22"/>
          <w:szCs w:val="22"/>
        </w:rPr>
        <w:t xml:space="preserve">  </w:t>
      </w:r>
      <w:r>
        <w:rPr>
          <w:b/>
          <w:bCs/>
          <w:sz w:val="22"/>
          <w:szCs w:val="22"/>
        </w:rPr>
        <w:t xml:space="preserve"> </w:t>
      </w:r>
    </w:p>
    <w:p w:rsidR="00576CA4" w:rsidRDefault="00576CA4">
      <w:pPr>
        <w:rPr>
          <w:sz w:val="22"/>
          <w:szCs w:val="22"/>
        </w:rPr>
      </w:pPr>
    </w:p>
    <w:p w:rsidR="00134F02" w:rsidRDefault="00134F02">
      <w:pPr>
        <w:rPr>
          <w:sz w:val="22"/>
          <w:szCs w:val="22"/>
        </w:rPr>
      </w:pPr>
    </w:p>
    <w:p w:rsidR="00134F02" w:rsidRPr="00576CA4" w:rsidRDefault="00134F02">
      <w:pPr>
        <w:rPr>
          <w:sz w:val="22"/>
          <w:szCs w:val="22"/>
        </w:rPr>
      </w:pPr>
    </w:p>
    <w:tbl>
      <w:tblPr>
        <w:tblW w:w="0" w:type="auto"/>
        <w:tblInd w:w="20" w:type="dxa"/>
        <w:tblLook w:val="0000" w:firstRow="0" w:lastRow="0" w:firstColumn="0" w:lastColumn="0" w:noHBand="0" w:noVBand="0"/>
      </w:tblPr>
      <w:tblGrid>
        <w:gridCol w:w="10800"/>
      </w:tblGrid>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lastRenderedPageBreak/>
              <w:t>Homework  &amp; Parental Engagement/ Support Plan</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F5E0A" w:rsidRDefault="000F5E0A" w:rsidP="000F5E0A">
            <w:r>
              <w:t xml:space="preserve">Homework will be assigned, depending on what is completed in class.  There will not be any standard homework dates or assignments, so students are responsible for homework and completion. Students should write </w:t>
            </w:r>
            <w:r w:rsidR="00576CA4">
              <w:t>homework in their planner daily and/or check the class website.</w:t>
            </w:r>
            <w:r>
              <w:t>  In addition, there may be group projects that will require time outside of class to complete.</w:t>
            </w:r>
          </w:p>
          <w:p w:rsidR="009B57CB" w:rsidRDefault="000F5E0A" w:rsidP="000F5E0A">
            <w:r>
              <w:rPr>
                <w:u w:val="single"/>
              </w:rPr>
              <w:t>All work is expected to be completed on time and high quality</w:t>
            </w:r>
            <w:r>
              <w:t xml:space="preserve">.  </w:t>
            </w:r>
            <w:r>
              <w:rPr>
                <w:b/>
                <w:bCs/>
                <w:i/>
                <w:iCs/>
              </w:rPr>
              <w:t>Late work will NOT be accepted</w:t>
            </w:r>
            <w:r>
              <w:t>, except for excused absences.</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 xml:space="preserve">Quizzes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76CA4" w:rsidRDefault="006D52CC">
            <w:r>
              <w:t>Quizzes will be at the end of each lesson/topic.  They will be a combination of multiple choice and written responses.  Study guides will be provided for students for quizzes.</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 xml:space="preserve">Exams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Default="006D52CC">
            <w:r>
              <w:t>Exams will be at the end of each unit.  They will be a combination of multiple choice and written responses.  Study guides will be provided for students for exams.</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 xml:space="preserve">Class Participation/Attendance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Default="006D52CC">
            <w:r>
              <w:t xml:space="preserve">For </w:t>
            </w:r>
            <w:r>
              <w:rPr>
                <w:i/>
                <w:iCs/>
              </w:rPr>
              <w:t xml:space="preserve">excused absences </w:t>
            </w:r>
            <w:r>
              <w:t xml:space="preserve">work can be made up within one week of the absence.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 xml:space="preserve">Classroom Expectations: MAKING THE PEAK CHOICE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Default="006D52CC">
            <w:r>
              <w:t xml:space="preserve">Students are expected to be respectful, responsible, safe and engaged in the class.  </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shd w:val="solid" w:color="3333FF" w:fill="3333FF"/>
            <w:tcMar>
              <w:top w:w="0" w:type="dxa"/>
              <w:left w:w="0" w:type="dxa"/>
              <w:bottom w:w="0" w:type="dxa"/>
              <w:right w:w="0" w:type="dxa"/>
            </w:tcMar>
          </w:tcPr>
          <w:p w:rsidR="009B57CB" w:rsidRDefault="009B57CB">
            <w:r>
              <w:rPr>
                <w:color w:val="FFFFFF"/>
                <w:sz w:val="22"/>
                <w:szCs w:val="22"/>
              </w:rPr>
              <w:t>Responsible Technology Use</w:t>
            </w:r>
          </w:p>
        </w:tc>
      </w:tr>
      <w:tr w:rsidR="009B57CB" w:rsidTr="00371AE1">
        <w:tc>
          <w:tcPr>
            <w:tcW w:w="108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B57CB" w:rsidRDefault="009B57CB">
            <w:pPr>
              <w:spacing w:after="40"/>
              <w:jc w:val="both"/>
            </w:pPr>
            <w:r>
              <w:rPr>
                <w:sz w:val="22"/>
                <w:szCs w:val="22"/>
              </w:rPr>
              <w:t>All students are given the privilege of utilizing our state of the art technological tools including iPods, iPads, Netbooks, Laptops, Google accounts etc. and are expected to follow the guidelines for technology use as outlined in the Acceptable Use Policy. Students shall not:</w:t>
            </w:r>
          </w:p>
          <w:p w:rsidR="009B57CB" w:rsidRDefault="009B57CB">
            <w:pPr>
              <w:spacing w:after="40"/>
              <w:ind w:left="720"/>
              <w:jc w:val="both"/>
              <w:rPr>
                <w:sz w:val="22"/>
                <w:szCs w:val="22"/>
              </w:rPr>
            </w:pPr>
            <w:r>
              <w:rPr>
                <w:sz w:val="22"/>
                <w:szCs w:val="22"/>
              </w:rPr>
              <w:t>· Utilize the school system computer network for any illegal activity.</w:t>
            </w:r>
          </w:p>
          <w:p w:rsidR="009B57CB" w:rsidRDefault="009B57CB">
            <w:pPr>
              <w:spacing w:after="40"/>
              <w:ind w:left="720"/>
              <w:jc w:val="both"/>
              <w:rPr>
                <w:sz w:val="22"/>
                <w:szCs w:val="22"/>
              </w:rPr>
            </w:pPr>
            <w:r>
              <w:rPr>
                <w:sz w:val="22"/>
                <w:szCs w:val="22"/>
              </w:rPr>
              <w:t>· Access or link to websites that contain material deemed vulgar, offensive, or otherwise inappropriate.</w:t>
            </w:r>
          </w:p>
          <w:p w:rsidR="009B57CB" w:rsidRDefault="009B57CB">
            <w:pPr>
              <w:spacing w:after="40"/>
              <w:ind w:left="720"/>
              <w:jc w:val="both"/>
              <w:rPr>
                <w:sz w:val="22"/>
                <w:szCs w:val="22"/>
              </w:rPr>
            </w:pPr>
            <w:r>
              <w:rPr>
                <w:sz w:val="22"/>
                <w:szCs w:val="22"/>
              </w:rPr>
              <w:t xml:space="preserve">· Use or display copyrighted or otherwise licensed material without specific permission or authorization   </w:t>
            </w:r>
          </w:p>
          <w:p w:rsidR="009B57CB" w:rsidRDefault="009B57CB" w:rsidP="00134F02">
            <w:pPr>
              <w:spacing w:after="40"/>
              <w:ind w:left="720"/>
              <w:jc w:val="both"/>
              <w:rPr>
                <w:sz w:val="22"/>
                <w:szCs w:val="22"/>
              </w:rPr>
            </w:pPr>
            <w:r>
              <w:rPr>
                <w:sz w:val="22"/>
                <w:szCs w:val="22"/>
              </w:rPr>
              <w:t xml:space="preserve">  </w:t>
            </w:r>
            <w:proofErr w:type="gramStart"/>
            <w:r>
              <w:rPr>
                <w:sz w:val="22"/>
                <w:szCs w:val="22"/>
              </w:rPr>
              <w:t>from</w:t>
            </w:r>
            <w:proofErr w:type="gramEnd"/>
            <w:r>
              <w:rPr>
                <w:sz w:val="22"/>
                <w:szCs w:val="22"/>
              </w:rPr>
              <w:t xml:space="preserve"> the appropriate party.</w:t>
            </w:r>
          </w:p>
          <w:p w:rsidR="009B57CB" w:rsidRDefault="009B57CB">
            <w:pPr>
              <w:spacing w:after="40"/>
              <w:ind w:left="720"/>
              <w:jc w:val="both"/>
              <w:rPr>
                <w:sz w:val="22"/>
                <w:szCs w:val="22"/>
              </w:rPr>
            </w:pPr>
            <w:r>
              <w:rPr>
                <w:sz w:val="22"/>
                <w:szCs w:val="22"/>
              </w:rPr>
              <w:t>· Post, use, or download any files that cause congestion or impede network operations.</w:t>
            </w:r>
          </w:p>
          <w:p w:rsidR="009B57CB" w:rsidRDefault="009B57CB">
            <w:pPr>
              <w:spacing w:after="40"/>
              <w:ind w:left="720"/>
              <w:jc w:val="both"/>
              <w:rPr>
                <w:sz w:val="22"/>
                <w:szCs w:val="22"/>
              </w:rPr>
            </w:pPr>
            <w:r>
              <w:rPr>
                <w:sz w:val="22"/>
                <w:szCs w:val="22"/>
              </w:rPr>
              <w:t>· Trespass in or vandalize another’s files, folders, data, or work.</w:t>
            </w:r>
          </w:p>
          <w:p w:rsidR="009B57CB" w:rsidRDefault="009B57CB">
            <w:pPr>
              <w:spacing w:after="40"/>
              <w:ind w:left="720"/>
              <w:jc w:val="both"/>
              <w:rPr>
                <w:sz w:val="22"/>
                <w:szCs w:val="22"/>
              </w:rPr>
            </w:pPr>
            <w:r>
              <w:rPr>
                <w:sz w:val="22"/>
                <w:szCs w:val="22"/>
              </w:rPr>
              <w:t>· Post anonymous messages or in any way misrepresent one’s own identity.</w:t>
            </w:r>
          </w:p>
          <w:p w:rsidR="009B57CB" w:rsidRDefault="009B57CB" w:rsidP="006101CB">
            <w:pPr>
              <w:spacing w:after="40"/>
              <w:ind w:left="720"/>
              <w:jc w:val="both"/>
              <w:rPr>
                <w:sz w:val="22"/>
                <w:szCs w:val="22"/>
              </w:rPr>
            </w:pPr>
            <w:r>
              <w:rPr>
                <w:sz w:val="22"/>
                <w:szCs w:val="22"/>
              </w:rPr>
              <w:t>· Use e-mail to promote the annoyance, attack, or harassment of others.</w:t>
            </w:r>
          </w:p>
          <w:p w:rsidR="009B57CB" w:rsidRDefault="009B57CB">
            <w:pPr>
              <w:spacing w:after="40"/>
              <w:jc w:val="both"/>
              <w:rPr>
                <w:sz w:val="22"/>
                <w:szCs w:val="22"/>
              </w:rPr>
            </w:pPr>
            <w:r>
              <w:rPr>
                <w:sz w:val="22"/>
                <w:szCs w:val="22"/>
              </w:rPr>
              <w:t xml:space="preserve">Consequences for misuse may include, but are not limited to, suspension of equipment access, disciplinary action commensurate with the level of misconduct, and/or legal action as appropriate. </w:t>
            </w:r>
          </w:p>
        </w:tc>
      </w:tr>
    </w:tbl>
    <w:p w:rsidR="00EB567D" w:rsidRDefault="00EB567D">
      <w:pPr>
        <w:jc w:val="both"/>
        <w:rPr>
          <w:u w:val="single"/>
        </w:rPr>
      </w:pPr>
    </w:p>
    <w:p w:rsidR="0014070A" w:rsidRPr="0014070A" w:rsidRDefault="0014070A">
      <w:pPr>
        <w:jc w:val="both"/>
        <w:rPr>
          <w:u w:val="single"/>
        </w:rPr>
      </w:pPr>
      <w:r w:rsidRPr="0014070A">
        <w:rPr>
          <w:u w:val="single"/>
        </w:rPr>
        <w:t>Please tear off and return bottom portion only</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_</w:t>
      </w:r>
    </w:p>
    <w:p w:rsidR="009B57CB" w:rsidRDefault="009B57CB">
      <w:pPr>
        <w:jc w:val="both"/>
        <w:rPr>
          <w:sz w:val="22"/>
          <w:szCs w:val="22"/>
        </w:rPr>
      </w:pPr>
      <w:r>
        <w:rPr>
          <w:sz w:val="22"/>
          <w:szCs w:val="22"/>
        </w:rPr>
        <w:t xml:space="preserve">I have carefully read the expectations of this course and agree to support the goals and initiatives of the course.  I will show up, speak up, stand up and go further </w:t>
      </w:r>
      <w:r w:rsidR="00C16AA3">
        <w:rPr>
          <w:sz w:val="22"/>
          <w:szCs w:val="22"/>
        </w:rPr>
        <w:t>than</w:t>
      </w:r>
      <w:r>
        <w:rPr>
          <w:sz w:val="22"/>
          <w:szCs w:val="22"/>
        </w:rPr>
        <w:t xml:space="preserve"> I ever thought possible.  </w:t>
      </w:r>
    </w:p>
    <w:p w:rsidR="0014070A" w:rsidRDefault="0014070A">
      <w:pPr>
        <w:jc w:val="both"/>
        <w:rPr>
          <w:sz w:val="22"/>
          <w:szCs w:val="22"/>
        </w:rPr>
      </w:pPr>
    </w:p>
    <w:p w:rsidR="00C16AA3" w:rsidRDefault="00C16AA3" w:rsidP="00C16AA3">
      <w:pPr>
        <w:jc w:val="both"/>
        <w:rPr>
          <w:sz w:val="22"/>
          <w:szCs w:val="22"/>
        </w:rPr>
      </w:pPr>
      <w:r>
        <w:rPr>
          <w:sz w:val="22"/>
          <w:szCs w:val="22"/>
        </w:rPr>
        <w:t>Student name: ___________________________________________________________</w:t>
      </w:r>
    </w:p>
    <w:p w:rsidR="00C16AA3" w:rsidRDefault="00C16AA3" w:rsidP="00C16AA3">
      <w:pPr>
        <w:jc w:val="both"/>
        <w:rPr>
          <w:sz w:val="22"/>
          <w:szCs w:val="22"/>
        </w:rPr>
      </w:pPr>
    </w:p>
    <w:p w:rsidR="00C16AA3" w:rsidRDefault="00C16AA3" w:rsidP="00C16AA3">
      <w:pPr>
        <w:jc w:val="both"/>
        <w:rPr>
          <w:sz w:val="22"/>
          <w:szCs w:val="22"/>
        </w:rPr>
      </w:pPr>
      <w:r>
        <w:rPr>
          <w:sz w:val="22"/>
          <w:szCs w:val="22"/>
        </w:rPr>
        <w:t>Student Signature: ________________________________________________________</w:t>
      </w:r>
    </w:p>
    <w:p w:rsidR="00C16AA3" w:rsidRDefault="00C16AA3" w:rsidP="00C16AA3">
      <w:pPr>
        <w:jc w:val="both"/>
        <w:rPr>
          <w:sz w:val="22"/>
          <w:szCs w:val="22"/>
        </w:rPr>
      </w:pPr>
    </w:p>
    <w:p w:rsidR="00C16AA3" w:rsidRDefault="00C16AA3" w:rsidP="00C16AA3">
      <w:pPr>
        <w:jc w:val="both"/>
        <w:rPr>
          <w:sz w:val="22"/>
          <w:szCs w:val="22"/>
        </w:rPr>
      </w:pPr>
      <w:r>
        <w:rPr>
          <w:sz w:val="22"/>
          <w:szCs w:val="22"/>
        </w:rPr>
        <w:t>Parent/Guardian Name: ____________________________________________________</w:t>
      </w:r>
    </w:p>
    <w:p w:rsidR="00C16AA3" w:rsidRDefault="00C16AA3" w:rsidP="00C16AA3">
      <w:pPr>
        <w:jc w:val="both"/>
        <w:rPr>
          <w:sz w:val="22"/>
          <w:szCs w:val="22"/>
        </w:rPr>
      </w:pPr>
    </w:p>
    <w:p w:rsidR="00C16AA3" w:rsidRDefault="00C16AA3" w:rsidP="00C16AA3">
      <w:pPr>
        <w:jc w:val="both"/>
        <w:rPr>
          <w:sz w:val="22"/>
          <w:szCs w:val="22"/>
        </w:rPr>
      </w:pPr>
      <w:r>
        <w:rPr>
          <w:sz w:val="22"/>
          <w:szCs w:val="22"/>
        </w:rPr>
        <w:t>Parent/Guardian Signature: __________________________________________________</w:t>
      </w:r>
    </w:p>
    <w:p w:rsidR="00C16AA3" w:rsidRDefault="00C16AA3" w:rsidP="00C16AA3">
      <w:pPr>
        <w:jc w:val="both"/>
        <w:rPr>
          <w:sz w:val="22"/>
          <w:szCs w:val="22"/>
        </w:rPr>
      </w:pPr>
    </w:p>
    <w:p w:rsidR="009B57CB" w:rsidRPr="00371AE1" w:rsidRDefault="00C16AA3" w:rsidP="00C16AA3">
      <w:pPr>
        <w:jc w:val="both"/>
        <w:rPr>
          <w:sz w:val="22"/>
          <w:szCs w:val="22"/>
        </w:rPr>
      </w:pPr>
      <w:r>
        <w:rPr>
          <w:sz w:val="22"/>
          <w:szCs w:val="22"/>
        </w:rPr>
        <w:t>Parent Phone Number: ___________________________</w:t>
      </w:r>
      <w:r w:rsidR="0014070A">
        <w:rPr>
          <w:sz w:val="22"/>
          <w:szCs w:val="22"/>
        </w:rPr>
        <w:t>Parent Email:</w:t>
      </w:r>
      <w:r>
        <w:rPr>
          <w:sz w:val="22"/>
          <w:szCs w:val="22"/>
        </w:rPr>
        <w:t>__________________________</w:t>
      </w:r>
      <w:r w:rsidR="0014070A">
        <w:rPr>
          <w:sz w:val="22"/>
          <w:szCs w:val="22"/>
        </w:rPr>
        <w:t>_________</w:t>
      </w:r>
    </w:p>
    <w:sectPr w:rsidR="009B57CB" w:rsidRPr="00371AE1" w:rsidSect="00273A6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7F" w:rsidRDefault="004A227F">
      <w:r>
        <w:separator/>
      </w:r>
    </w:p>
  </w:endnote>
  <w:endnote w:type="continuationSeparator" w:id="0">
    <w:p w:rsidR="004A227F" w:rsidRDefault="004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7F" w:rsidRDefault="004A227F">
      <w:r>
        <w:separator/>
      </w:r>
    </w:p>
  </w:footnote>
  <w:footnote w:type="continuationSeparator" w:id="0">
    <w:p w:rsidR="004A227F" w:rsidRDefault="004A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CB" w:rsidRDefault="009B57CB">
    <w:pPr>
      <w:jc w:val="right"/>
    </w:pPr>
    <w:r>
      <w:rPr>
        <w:b/>
        <w:bCs/>
        <w:sz w:val="20"/>
        <w:szCs w:val="20"/>
      </w:rPr>
      <w:t>VP PREP Common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06"/>
    <w:multiLevelType w:val="hybridMultilevel"/>
    <w:tmpl w:val="96EEBFBE"/>
    <w:lvl w:ilvl="0" w:tplc="7E7A7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61759"/>
    <w:multiLevelType w:val="hybridMultilevel"/>
    <w:tmpl w:val="BD6A2F7C"/>
    <w:lvl w:ilvl="0" w:tplc="F1585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513753"/>
    <w:multiLevelType w:val="hybridMultilevel"/>
    <w:tmpl w:val="334A206C"/>
    <w:lvl w:ilvl="0" w:tplc="18528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5DC4"/>
    <w:rsid w:val="000F5E0A"/>
    <w:rsid w:val="000F703E"/>
    <w:rsid w:val="00134F02"/>
    <w:rsid w:val="0014070A"/>
    <w:rsid w:val="001E43DB"/>
    <w:rsid w:val="00273A67"/>
    <w:rsid w:val="002A33D9"/>
    <w:rsid w:val="002D615B"/>
    <w:rsid w:val="00371AE1"/>
    <w:rsid w:val="003E6169"/>
    <w:rsid w:val="00402141"/>
    <w:rsid w:val="0040570F"/>
    <w:rsid w:val="004124B1"/>
    <w:rsid w:val="0041694A"/>
    <w:rsid w:val="00421B03"/>
    <w:rsid w:val="004235E5"/>
    <w:rsid w:val="00436CC5"/>
    <w:rsid w:val="00475EC3"/>
    <w:rsid w:val="004A227F"/>
    <w:rsid w:val="004C4268"/>
    <w:rsid w:val="00503850"/>
    <w:rsid w:val="00546981"/>
    <w:rsid w:val="00576CA4"/>
    <w:rsid w:val="00587697"/>
    <w:rsid w:val="005D3B03"/>
    <w:rsid w:val="006101CB"/>
    <w:rsid w:val="006567C5"/>
    <w:rsid w:val="006D52CC"/>
    <w:rsid w:val="00912DBB"/>
    <w:rsid w:val="00995B24"/>
    <w:rsid w:val="009B57CB"/>
    <w:rsid w:val="00A042C0"/>
    <w:rsid w:val="00A145D8"/>
    <w:rsid w:val="00A21342"/>
    <w:rsid w:val="00A77B3E"/>
    <w:rsid w:val="00AF44DC"/>
    <w:rsid w:val="00B20F69"/>
    <w:rsid w:val="00B46B91"/>
    <w:rsid w:val="00B55762"/>
    <w:rsid w:val="00B56531"/>
    <w:rsid w:val="00C16AA3"/>
    <w:rsid w:val="00C6364B"/>
    <w:rsid w:val="00C75475"/>
    <w:rsid w:val="00DA4BF1"/>
    <w:rsid w:val="00E73D3D"/>
    <w:rsid w:val="00EB567D"/>
    <w:rsid w:val="00EE02C2"/>
    <w:rsid w:val="00F53B26"/>
    <w:rsid w:val="00FB50DE"/>
    <w:rsid w:val="00FC7778"/>
    <w:rsid w:val="00FD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67"/>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F5E0A"/>
  </w:style>
  <w:style w:type="paragraph" w:styleId="ListParagraph">
    <w:name w:val="List Paragraph"/>
    <w:basedOn w:val="Normal"/>
    <w:uiPriority w:val="34"/>
    <w:qFormat/>
    <w:rsid w:val="000F5E0A"/>
    <w:pPr>
      <w:ind w:left="720"/>
    </w:pPr>
    <w:rPr>
      <w:rFonts w:ascii="Tahoma" w:eastAsia="Times New Roman" w:hAnsi="Tahoma" w:cs="Tahoma"/>
      <w:color w:val="auto"/>
    </w:rPr>
  </w:style>
  <w:style w:type="table" w:styleId="TableGrid">
    <w:name w:val="Table Grid"/>
    <w:basedOn w:val="TableNormal"/>
    <w:rsid w:val="0061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6169"/>
  </w:style>
  <w:style w:type="character" w:styleId="Hyperlink">
    <w:name w:val="Hyperlink"/>
    <w:basedOn w:val="DefaultParagraphFont"/>
    <w:uiPriority w:val="99"/>
    <w:unhideWhenUsed/>
    <w:rsid w:val="00995B24"/>
    <w:rPr>
      <w:color w:val="0000FF"/>
      <w:u w:val="single"/>
    </w:rPr>
  </w:style>
  <w:style w:type="paragraph" w:styleId="BalloonText">
    <w:name w:val="Balloon Text"/>
    <w:basedOn w:val="Normal"/>
    <w:link w:val="BalloonTextChar"/>
    <w:rsid w:val="00B20F69"/>
    <w:rPr>
      <w:rFonts w:ascii="Tahoma" w:hAnsi="Tahoma" w:cs="Tahoma"/>
      <w:sz w:val="16"/>
      <w:szCs w:val="16"/>
    </w:rPr>
  </w:style>
  <w:style w:type="character" w:customStyle="1" w:styleId="BalloonTextChar">
    <w:name w:val="Balloon Text Char"/>
    <w:basedOn w:val="DefaultParagraphFont"/>
    <w:link w:val="BalloonText"/>
    <w:rsid w:val="00B20F6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A67"/>
    <w:rPr>
      <w:rFonts w:ascii="Calibri" w:eastAsia="Calibri" w:hAnsi="Calibri" w:cs="Calibri"/>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F5E0A"/>
  </w:style>
  <w:style w:type="paragraph" w:styleId="ListParagraph">
    <w:name w:val="List Paragraph"/>
    <w:basedOn w:val="Normal"/>
    <w:uiPriority w:val="34"/>
    <w:qFormat/>
    <w:rsid w:val="000F5E0A"/>
    <w:pPr>
      <w:ind w:left="720"/>
    </w:pPr>
    <w:rPr>
      <w:rFonts w:ascii="Tahoma" w:eastAsia="Times New Roman" w:hAnsi="Tahoma" w:cs="Tahoma"/>
      <w:color w:val="auto"/>
    </w:rPr>
  </w:style>
  <w:style w:type="table" w:styleId="TableGrid">
    <w:name w:val="Table Grid"/>
    <w:basedOn w:val="TableNormal"/>
    <w:rsid w:val="0061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E6169"/>
  </w:style>
  <w:style w:type="character" w:styleId="Hyperlink">
    <w:name w:val="Hyperlink"/>
    <w:basedOn w:val="DefaultParagraphFont"/>
    <w:uiPriority w:val="99"/>
    <w:unhideWhenUsed/>
    <w:rsid w:val="00995B24"/>
    <w:rPr>
      <w:color w:val="0000FF"/>
      <w:u w:val="single"/>
    </w:rPr>
  </w:style>
  <w:style w:type="paragraph" w:styleId="BalloonText">
    <w:name w:val="Balloon Text"/>
    <w:basedOn w:val="Normal"/>
    <w:link w:val="BalloonTextChar"/>
    <w:rsid w:val="00B20F69"/>
    <w:rPr>
      <w:rFonts w:ascii="Tahoma" w:hAnsi="Tahoma" w:cs="Tahoma"/>
      <w:sz w:val="16"/>
      <w:szCs w:val="16"/>
    </w:rPr>
  </w:style>
  <w:style w:type="character" w:customStyle="1" w:styleId="BalloonTextChar">
    <w:name w:val="Balloon Text Char"/>
    <w:basedOn w:val="DefaultParagraphFont"/>
    <w:link w:val="BalloonText"/>
    <w:rsid w:val="00B20F6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781">
      <w:bodyDiv w:val="1"/>
      <w:marLeft w:val="0"/>
      <w:marRight w:val="0"/>
      <w:marTop w:val="0"/>
      <w:marBottom w:val="0"/>
      <w:divBdr>
        <w:top w:val="none" w:sz="0" w:space="0" w:color="auto"/>
        <w:left w:val="none" w:sz="0" w:space="0" w:color="auto"/>
        <w:bottom w:val="none" w:sz="0" w:space="0" w:color="auto"/>
        <w:right w:val="none" w:sz="0" w:space="0" w:color="auto"/>
      </w:divBdr>
    </w:div>
    <w:div w:id="794446444">
      <w:bodyDiv w:val="1"/>
      <w:marLeft w:val="0"/>
      <w:marRight w:val="0"/>
      <w:marTop w:val="0"/>
      <w:marBottom w:val="0"/>
      <w:divBdr>
        <w:top w:val="none" w:sz="0" w:space="0" w:color="auto"/>
        <w:left w:val="none" w:sz="0" w:space="0" w:color="auto"/>
        <w:bottom w:val="none" w:sz="0" w:space="0" w:color="auto"/>
        <w:right w:val="none" w:sz="0" w:space="0" w:color="auto"/>
      </w:divBdr>
    </w:div>
    <w:div w:id="1029524064">
      <w:bodyDiv w:val="1"/>
      <w:marLeft w:val="0"/>
      <w:marRight w:val="0"/>
      <w:marTop w:val="0"/>
      <w:marBottom w:val="0"/>
      <w:divBdr>
        <w:top w:val="none" w:sz="0" w:space="0" w:color="auto"/>
        <w:left w:val="none" w:sz="0" w:space="0" w:color="auto"/>
        <w:bottom w:val="none" w:sz="0" w:space="0" w:color="auto"/>
        <w:right w:val="none" w:sz="0" w:space="0" w:color="auto"/>
      </w:divBdr>
    </w:div>
    <w:div w:id="1166238592">
      <w:bodyDiv w:val="1"/>
      <w:marLeft w:val="0"/>
      <w:marRight w:val="0"/>
      <w:marTop w:val="0"/>
      <w:marBottom w:val="0"/>
      <w:divBdr>
        <w:top w:val="none" w:sz="0" w:space="0" w:color="auto"/>
        <w:left w:val="none" w:sz="0" w:space="0" w:color="auto"/>
        <w:bottom w:val="none" w:sz="0" w:space="0" w:color="auto"/>
        <w:right w:val="none" w:sz="0" w:space="0" w:color="auto"/>
      </w:divBdr>
    </w:div>
    <w:div w:id="2046446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Links>
    <vt:vector size="6" baseType="variant">
      <vt:variant>
        <vt:i4>7733362</vt:i4>
      </vt:variant>
      <vt:variant>
        <vt:i4>0</vt:i4>
      </vt:variant>
      <vt:variant>
        <vt:i4>0</vt:i4>
      </vt:variant>
      <vt:variant>
        <vt:i4>5</vt:i4>
      </vt:variant>
      <vt:variant>
        <vt:lpwstr>http://lore.com/Economics.1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2013-08-14T18:11:00Z</cp:lastPrinted>
  <dcterms:created xsi:type="dcterms:W3CDTF">2013-08-13T18:32:00Z</dcterms:created>
  <dcterms:modified xsi:type="dcterms:W3CDTF">2013-08-14T18:11:00Z</dcterms:modified>
</cp:coreProperties>
</file>